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_GBK" w:hAnsi="方正小标宋_GBK" w:eastAsia="方正小标宋_GBK" w:cs="方正小标宋_GBK"/>
          <w:b w:val="0"/>
          <w:bCs w:val="0"/>
          <w:lang w:val="en-US" w:eastAsia="zh-CN"/>
        </w:rPr>
      </w:pPr>
      <w:r>
        <w:rPr>
          <w:rFonts w:hint="eastAsia" w:ascii="方正小标宋_GBK" w:hAnsi="方正小标宋_GBK" w:eastAsia="方正小标宋_GBK" w:cs="方正小标宋_GBK"/>
          <w:b w:val="0"/>
          <w:bCs w:val="0"/>
          <w:lang w:eastAsia="zh-CN"/>
        </w:rPr>
        <w:t>自治区市场监管厅行政强制依据及条件</w:t>
      </w:r>
      <w:bookmarkStart w:id="0" w:name="_GoBack"/>
      <w:bookmarkEnd w:id="0"/>
    </w:p>
    <w:tbl>
      <w:tblPr>
        <w:tblStyle w:val="4"/>
        <w:tblW w:w="15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236"/>
        <w:gridCol w:w="1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565"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仿宋_GB2312" w:hAnsi="宋体" w:cs="宋体"/>
                <w:b/>
                <w:bCs/>
                <w:color w:val="auto"/>
                <w:sz w:val="21"/>
                <w:szCs w:val="21"/>
              </w:rPr>
            </w:pPr>
            <w:r>
              <w:rPr>
                <w:rFonts w:hint="eastAsia" w:ascii="仿宋_GB2312" w:hAnsi="宋体" w:cs="宋体"/>
                <w:b/>
                <w:bCs/>
                <w:color w:val="auto"/>
                <w:sz w:val="21"/>
                <w:szCs w:val="21"/>
              </w:rPr>
              <w:t>序号</w:t>
            </w:r>
          </w:p>
        </w:tc>
        <w:tc>
          <w:tcPr>
            <w:tcW w:w="2236"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仿宋_GB2312" w:hAnsi="宋体" w:cs="宋体"/>
                <w:b/>
                <w:bCs/>
                <w:color w:val="auto"/>
                <w:sz w:val="21"/>
                <w:szCs w:val="21"/>
              </w:rPr>
            </w:pPr>
            <w:r>
              <w:rPr>
                <w:rFonts w:hint="eastAsia" w:ascii="仿宋_GB2312" w:hAnsi="宋体" w:cs="宋体"/>
                <w:b/>
                <w:bCs/>
                <w:color w:val="auto"/>
                <w:sz w:val="21"/>
                <w:szCs w:val="21"/>
                <w:lang w:eastAsia="zh-CN"/>
              </w:rPr>
              <w:t>行政强制事项</w:t>
            </w:r>
            <w:r>
              <w:rPr>
                <w:rFonts w:hint="eastAsia" w:ascii="仿宋_GB2312" w:hAnsi="宋体" w:cs="宋体"/>
                <w:b/>
                <w:bCs/>
                <w:color w:val="auto"/>
                <w:sz w:val="21"/>
                <w:szCs w:val="21"/>
              </w:rPr>
              <w:t>名称</w:t>
            </w:r>
          </w:p>
        </w:tc>
        <w:tc>
          <w:tcPr>
            <w:tcW w:w="12551" w:type="dxa"/>
            <w:tcBorders>
              <w:top w:val="single" w:color="auto" w:sz="4" w:space="0"/>
              <w:left w:val="single" w:color="auto" w:sz="4" w:space="0"/>
              <w:right w:val="single" w:color="auto" w:sz="4" w:space="0"/>
            </w:tcBorders>
            <w:noWrap w:val="0"/>
            <w:vAlign w:val="center"/>
          </w:tcPr>
          <w:p>
            <w:pPr>
              <w:adjustRightInd w:val="0"/>
              <w:snapToGrid w:val="0"/>
              <w:spacing w:line="270" w:lineRule="exact"/>
              <w:jc w:val="center"/>
              <w:rPr>
                <w:rFonts w:hint="eastAsia" w:ascii="仿宋_GB2312" w:hAnsi="宋体" w:eastAsia="宋体" w:cs="宋体"/>
                <w:b/>
                <w:bCs/>
                <w:color w:val="auto"/>
                <w:sz w:val="21"/>
                <w:szCs w:val="21"/>
                <w:lang w:eastAsia="zh-CN"/>
              </w:rPr>
            </w:pPr>
            <w:r>
              <w:rPr>
                <w:rFonts w:hint="eastAsia" w:ascii="仿宋_GB2312" w:hAnsi="宋体" w:cs="宋体"/>
                <w:b/>
                <w:bCs/>
                <w:color w:val="auto"/>
                <w:sz w:val="21"/>
                <w:szCs w:val="21"/>
                <w:lang w:eastAsia="zh-CN"/>
              </w:rPr>
              <w:t>依据及条件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1</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查封（封存）违法物品、场所，扣押(扣留)违法物品</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lang w:eastAsia="zh-CN"/>
              </w:rPr>
            </w:pPr>
            <w:r>
              <w:rPr>
                <w:rFonts w:hint="eastAsia" w:ascii="仿宋_GB2312" w:eastAsia="仿宋_GB2312"/>
                <w:color w:val="auto"/>
                <w:sz w:val="21"/>
                <w:szCs w:val="21"/>
                <w:lang w:eastAsia="zh-CN"/>
              </w:rPr>
              <w:t>【法律】《中华人民共和国商标法》（2019年修正）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第六十二条第一款 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【行政法规】《禁止传销条例》（2005年国务院令第444号）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第十四条第一款 县级以上工商行政管理部门对涉嫌传销行为进行查处时，可以采取下列措施：（四）查阅、复制、查封、扣押涉嫌传销的有关合同、票据、账簿等资料；</w:t>
            </w:r>
            <w:r>
              <w:rPr>
                <w:rFonts w:hint="eastAsia" w:ascii="仿宋_GB2312" w:eastAsia="仿宋_GB2312"/>
                <w:color w:val="auto"/>
                <w:sz w:val="21"/>
                <w:szCs w:val="21"/>
                <w:lang w:eastAsia="zh-CN"/>
              </w:rPr>
              <w:t>（</w:t>
            </w:r>
            <w:r>
              <w:rPr>
                <w:rFonts w:hint="eastAsia" w:ascii="仿宋_GB2312" w:eastAsia="仿宋_GB2312"/>
                <w:color w:val="auto"/>
                <w:sz w:val="21"/>
                <w:szCs w:val="21"/>
              </w:rPr>
              <w:t>五）查封、扣押涉嫌专门用于传销的产品（商品）、工具、设备、原材料等财物；（六）查封涉嫌传销的经营场所；</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【行政法规】《直销管理条例》（2017年国务院令第676号修改）</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第三十五条第一款 工商行政管理部门负责对直销企业和直销员及其直销活动实施日常的监督管理。工商行政管理部门可以采取下列措施进行现场检查：（四） 查阅、复制、查封、扣押相关企业与直销活动有关的材料和非法财物。</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【行政法规】《军服管理条例》（2009年国务院令第547号）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第十二条第二款 工商行政管理部门发现涉嫌非法生产、销售军服或者军服仿制品的行为时，可以查封、扣押涉嫌物品。</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【行政法规】《外国企业常驻代表机构登记管理条例》（2010年国务院令第584号）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第二十一条  登记机关对代表机构涉嫌违反本条例的行为进行查处，可以依法行使下列职权：（二）查阅、复制、查封、扣押与违法行为有关的合同、票据、账簿以及其他资料；（三）查封、扣押专门用于从事违法行为的工具、设备、原材料、产品（商品）等财物。</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【行政法规】《危险化学品安全管理条例》（2013年国务院令第645号修订）</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第七条第一款 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【行政法规】《无照经营查处取缔办法》（2017年国务院令第684号修订）</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第十一条  县级以上人民政府工商行政管理部门对涉嫌无照经营进行查处，可以行使下列职权：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（一）责令停止相关经营活动；</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（二）向与涉嫌无照经营有关的单位和个人调查了解有关情况；</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（三）进入涉嫌从事无照经营的场所实施现场检查；</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（四）查阅、复制与涉嫌无照经营有关的合同、票据、账簿以及其他有关资料。</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对涉嫌从事无照经营的场所，可以予以查封；对涉嫌用于无照经营的工具、设备、原材料、产品（商品）等物品，可以予以查封、扣押。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对涉嫌无证经营进行查处，依照相关法律、法规的规定采取措施。</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【行政法规】《世界博览会标志保护条例》（2004年国务院令第422号）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第六条 国务院工商行政管理部门依照本条例的规定，负责全国的世界博览会标志保护工作。</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县级以上地方工商行政管理部门依照本条例的规定，负责本行政区域内的世界博览会标志保护工作。</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第十条 工商行政管理部门根据已经取得的违法嫌疑证据或者举报查处涉嫌侵犯世界博览会标志专有权的行为时，可以行使下列职权：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（一）询问有关当事人，调查与侵犯世界博览会标志专有权有关的情况；</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（二）查阅、复制与侵权活动有关的合同、发票、账簿以及其他有关资料；</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（三）对当事人涉嫌侵犯世界博览会标志专有权活动的场所实施现场检查；</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（四）检查与侵权活动有关的物品；对有证据证明侵犯世界博览会标志专有权的物品，予以查封或者扣押。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工商行政管理部门依法行使前款规定的职权时，当事人应当予以协助、配合，不得拒绝、阻挠。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2</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先行登记保存</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【部门规章】《市场监督管理行政处罚程序规定》原名为《</w:t>
            </w:r>
            <w:r>
              <w:rPr>
                <w:rFonts w:hint="eastAsia" w:ascii="仿宋_GB2312" w:eastAsia="仿宋_GB2312"/>
                <w:color w:val="auto"/>
                <w:sz w:val="21"/>
                <w:szCs w:val="21"/>
              </w:rPr>
              <w:fldChar w:fldCharType="begin"/>
            </w:r>
            <w:r>
              <w:rPr>
                <w:rFonts w:hint="eastAsia" w:ascii="仿宋_GB2312" w:eastAsia="仿宋_GB2312"/>
                <w:color w:val="auto"/>
                <w:sz w:val="21"/>
                <w:szCs w:val="21"/>
              </w:rPr>
              <w:instrText xml:space="preserve"> HYPERLINK "https://baike.baidu.com/item/%E5%B8%82%E5%9C%BA%E7%9B%91%E7%9D%A3%E7%AE%A1%E7%90%86%E8%A1%8C%E6%94%BF%E5%A4%84%E7%BD%9A%E7%A8%8B%E5%BA%8F%E6%9A%82%E8%A1%8C%E8%A7%84%E5%AE%9A/23224102" \t "https://baike.baidu.com/item/%E5%B8%82%E5%9C%BA%E7%9B%91%E7%9D%A3%E7%AE%A1%E7%90%86%E8%A1%8C%E6%94%BF%E5%A4%84%E7%BD%9A%E7%A8%8B%E5%BA%8F%E8%A7%84%E5%AE%9A/_blank" </w:instrText>
            </w:r>
            <w:r>
              <w:rPr>
                <w:rFonts w:hint="eastAsia" w:ascii="仿宋_GB2312" w:eastAsia="仿宋_GB2312"/>
                <w:color w:val="auto"/>
                <w:sz w:val="21"/>
                <w:szCs w:val="21"/>
              </w:rPr>
              <w:fldChar w:fldCharType="separate"/>
            </w:r>
            <w:r>
              <w:rPr>
                <w:rFonts w:hint="eastAsia" w:ascii="仿宋_GB2312" w:eastAsia="仿宋_GB2312"/>
                <w:color w:val="auto"/>
                <w:sz w:val="21"/>
                <w:szCs w:val="21"/>
              </w:rPr>
              <w:t>市场监督管理行政处罚程序暂行规定</w:t>
            </w:r>
            <w:r>
              <w:rPr>
                <w:rFonts w:hint="eastAsia" w:ascii="仿宋_GB2312" w:eastAsia="仿宋_GB2312"/>
                <w:color w:val="auto"/>
                <w:sz w:val="21"/>
                <w:szCs w:val="21"/>
              </w:rPr>
              <w:fldChar w:fldCharType="end"/>
            </w:r>
            <w:r>
              <w:rPr>
                <w:rFonts w:hint="eastAsia" w:ascii="仿宋_GB2312" w:eastAsia="仿宋_GB2312"/>
                <w:color w:val="auto"/>
                <w:sz w:val="21"/>
                <w:szCs w:val="21"/>
              </w:rPr>
              <w:t>》，2018年12月21日</w:t>
            </w:r>
            <w:r>
              <w:rPr>
                <w:rFonts w:hint="eastAsia" w:ascii="仿宋_GB2312" w:eastAsia="仿宋_GB2312"/>
                <w:color w:val="auto"/>
                <w:sz w:val="21"/>
                <w:szCs w:val="21"/>
              </w:rPr>
              <w:fldChar w:fldCharType="begin"/>
            </w:r>
            <w:r>
              <w:rPr>
                <w:rFonts w:hint="eastAsia" w:ascii="仿宋_GB2312" w:eastAsia="仿宋_GB2312"/>
                <w:color w:val="auto"/>
                <w:sz w:val="21"/>
                <w:szCs w:val="21"/>
              </w:rPr>
              <w:instrText xml:space="preserve"> HYPERLINK "https://baike.baidu.com/item/%E5%9B%BD%E5%AE%B6%E5%B8%82%E5%9C%BA%E7%9B%91%E7%9D%A3%E7%AE%A1%E7%90%86%E6%80%BB%E5%B1%80%E4%BB%A4/23614370" \t "https://baike.baidu.com/item/%E5%B8%82%E5%9C%BA%E7%9B%91%E7%9D%A3%E7%AE%A1%E7%90%86%E8%A1%8C%E6%94%BF%E5%A4%84%E7%BD%9A%E7%A8%8B%E5%BA%8F%E8%A7%84%E5%AE%9A/_blank" </w:instrText>
            </w:r>
            <w:r>
              <w:rPr>
                <w:rFonts w:hint="eastAsia" w:ascii="仿宋_GB2312" w:eastAsia="仿宋_GB2312"/>
                <w:color w:val="auto"/>
                <w:sz w:val="21"/>
                <w:szCs w:val="21"/>
              </w:rPr>
              <w:fldChar w:fldCharType="separate"/>
            </w:r>
            <w:r>
              <w:rPr>
                <w:rFonts w:hint="eastAsia" w:ascii="仿宋_GB2312" w:eastAsia="仿宋_GB2312"/>
                <w:color w:val="auto"/>
                <w:sz w:val="21"/>
                <w:szCs w:val="21"/>
              </w:rPr>
              <w:t>国家市场监督管理总局令</w:t>
            </w:r>
            <w:r>
              <w:rPr>
                <w:rFonts w:hint="eastAsia" w:ascii="仿宋_GB2312" w:eastAsia="仿宋_GB2312"/>
                <w:color w:val="auto"/>
                <w:sz w:val="21"/>
                <w:szCs w:val="21"/>
              </w:rPr>
              <w:fldChar w:fldCharType="end"/>
            </w:r>
            <w:r>
              <w:rPr>
                <w:rFonts w:hint="eastAsia" w:ascii="仿宋_GB2312" w:eastAsia="仿宋_GB2312"/>
                <w:color w:val="auto"/>
                <w:sz w:val="21"/>
                <w:szCs w:val="21"/>
              </w:rPr>
              <w:t>第2号公布，根据2021年7月2日</w:t>
            </w:r>
            <w:r>
              <w:rPr>
                <w:rFonts w:hint="eastAsia" w:ascii="仿宋_GB2312" w:eastAsia="仿宋_GB2312"/>
                <w:color w:val="auto"/>
                <w:sz w:val="21"/>
                <w:szCs w:val="21"/>
              </w:rPr>
              <w:fldChar w:fldCharType="begin"/>
            </w:r>
            <w:r>
              <w:rPr>
                <w:rFonts w:hint="eastAsia" w:ascii="仿宋_GB2312" w:eastAsia="仿宋_GB2312"/>
                <w:color w:val="auto"/>
                <w:sz w:val="21"/>
                <w:szCs w:val="21"/>
              </w:rPr>
              <w:instrText xml:space="preserve"> HYPERLINK "https://baike.baidu.com/item/%E5%9B%BD%E5%AE%B6%E5%B8%82%E5%9C%BA%E7%9B%91%E7%9D%A3%E7%AE%A1%E7%90%86%E6%80%BB%E5%B1%80%E4%BB%A4/23614370" \t "https://baike.baidu.com/item/%E5%B8%82%E5%9C%BA%E7%9B%91%E7%9D%A3%E7%AE%A1%E7%90%86%E8%A1%8C%E6%94%BF%E5%A4%84%E7%BD%9A%E7%A8%8B%E5%BA%8F%E8%A7%84%E5%AE%9A/_blank" </w:instrText>
            </w:r>
            <w:r>
              <w:rPr>
                <w:rFonts w:hint="eastAsia" w:ascii="仿宋_GB2312" w:eastAsia="仿宋_GB2312"/>
                <w:color w:val="auto"/>
                <w:sz w:val="21"/>
                <w:szCs w:val="21"/>
              </w:rPr>
              <w:fldChar w:fldCharType="separate"/>
            </w:r>
            <w:r>
              <w:rPr>
                <w:rFonts w:hint="eastAsia" w:ascii="仿宋_GB2312" w:eastAsia="仿宋_GB2312"/>
                <w:color w:val="auto"/>
                <w:sz w:val="21"/>
                <w:szCs w:val="21"/>
              </w:rPr>
              <w:t>国家市场监督管理总局令</w:t>
            </w:r>
            <w:r>
              <w:rPr>
                <w:rFonts w:hint="eastAsia" w:ascii="仿宋_GB2312" w:eastAsia="仿宋_GB2312"/>
                <w:color w:val="auto"/>
                <w:sz w:val="21"/>
                <w:szCs w:val="21"/>
              </w:rPr>
              <w:fldChar w:fldCharType="end"/>
            </w:r>
            <w:r>
              <w:rPr>
                <w:rFonts w:hint="eastAsia" w:ascii="仿宋_GB2312" w:eastAsia="仿宋_GB2312"/>
                <w:color w:val="auto"/>
                <w:sz w:val="21"/>
                <w:szCs w:val="21"/>
              </w:rPr>
              <w:t>第42号《国家市场监督管理总局关于修改〈市场监督管理行政处罚程序暂行规定〉等二部规章的决定》修正。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lang w:val="en-US" w:eastAsia="zh-CN"/>
              </w:rPr>
              <w:t>第三十三条　在证据可能灭失或者以后难以取得的情况下，市场监督管理部门可以对与涉嫌违法行为有关的证据采取先行登记保存措施。采取或者解除先行登记保存措施，应当经市场监督管理部门负责人批准。</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lang w:val="en-US" w:eastAsia="zh-CN"/>
              </w:rPr>
              <w:t>情况紧急，需要当场采取先行登记保存措施的，办案人员应当在二十四小时内向市场监督管理部门负责人报告，并补办批准手续。市场监督管理部门负责人认为不应当采取先行登记保存措施的，应当立即解除。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3</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查封或者扣押不符合保障人体健康和人身、财产安全的国家标准、行业标准的产品或者有其他严重质量问题的产品以及直接用于生产、销售该项产品的原辅材料、包装物、生产工具</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【法律】《中华人民共和国产品质量法》（2018年修正）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第十八条  县级以上市场监督管理部门根据已经取得的违法嫌疑证据或者举报，对涉嫌违反本法规定的行为进行查处时，可以行使下列职权：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(四)对有根据认为不符合保障人体健康和人身、财产安全的国家标准、行业标准的产品或者有其他严重质量问题的产品，以及直接用于生产、销售该项产品的原辅材料、包装物、生产工具，予以查封或者扣押。</w:t>
            </w:r>
          </w:p>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4</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查封或者扣押有严重质量问题的棉花、毛、绒、茧丝、麻类纤维以及专门用于生产的设备、工具</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【行政法规】《棉花质量监督管理条例》（2017年国务院令第687号修正）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第二十条第四项“棉花质量监督机构在实施棉花质量监督检查过程中，根据违法嫌疑证据或者举报，对涉嫌违反本条例规定的行为进行查处时，可以行使下列职权：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（四）对涉嫌掺杂掺假、以次充好、以假充真或者其他有严重质量问题的棉花以及专门用于生产掺杂掺假、以次充好、以假充真的棉花的设备、工具予以查封或者扣押。”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第三十八条 毛、绒、茧丝、麻类纤维的质量监督管理比照本条例执行。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5</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查封或者扣押违反《工业产品生产许可证管理条例》生产、销售或者在经营活动中使用的列入目录的产品</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【行政法规】《中华人民共和国工业产品生产许可证管理条例》（2005年国务院第440号令）</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第三十七条：县级以上工业产品生产许可证主管部门根据已经取得的违法嫌疑证据或者举报，对涉嫌违反本条例的行为进行查处并可以行使下列职权：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（三）对有证据表明属于违反本条例生产、销售或者在经营活动中使用的列入目录产品予以查封或者扣押。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县级以上工商行政管理部门依法对涉嫌违反本条例规定的行为进行查处时，也可以行使前款规定的职权。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6</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封存未经型式批准或样机试验合格的计量器具新产品</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【行政法规】《中华人民共和国计量法实施细则》（2018年国务院令第698号修正）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第四十四条  制造、销售未经型式批准或样机试验合格的计量器具新产品的，责令其停止制造、销售，封存该种新产品，没收全部违法所得，可并处3000元以下的罚款。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7</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查封、扣押不符合安全技术规范要求或者存在严重事故隐患的特种设备</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【法律】《中华人民共和国特种设备安全法》（2013年）</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第六十一条  负责特种设备安全监督管理的部门在依法履行监督检查职责时，可以行使下列职权：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（三）对有证据表明不符合安全技术规范要求或者存在严重事故隐患的特种设备实施查封、扣押。</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【行政法规】《特种设备安全监察条例》（2009年国务院令549号修订）</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第五十一条 特种设备安全监督管理部门根据举报或者取得的涉嫌违法证据，对涉嫌违反本条例规定的行为进行查处时，可以行使下列职权：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（三）对有证据表明不符合安全技术规范要求的或者有其他严重事故隐患、能耗严重超标的特种设备，予以查封或者扣押。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8</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阅、复制、查封、扣押有关合同、票据、账簿以及其他有关资料，查封、扣押不符合法定要求的产品，违法使用的原料、辅料、添加剂、农业投入品以及用于违法生产的工具、设备，查封存在危害人体健康和生命安全重大隐患的生产经营场所</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【行政法规】《国务院关于加强食品等产品安全监督管理的特别规定》（2007年国务院令第503号）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第十五条 农业、卫生、质检、商务、工商、药品等监督管理部门履行各自产品安全监督管理职责，有下列职权：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（二）查阅、复制、查封、扣押有关合同、票据、账簿以及其他有关资料；</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（三）查封、扣押不符合法定要求的产品，违法使用的原料、辅料、添加剂、农业投入品以及用于违法生产的工具、设备；</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（四）查封存在危害人体健康和生命安全重大隐患的生产经营场所。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9</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查封、扣押有证据证明不符合食品安全标准或者有证据证明存在安全隐患以及用于违法生产经营的食品、食品添加剂、食品相关产品，及违法使用的原料、辅料、用于违法生产的工具、设备、场所。</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【法律】《中华人民共和国食品安全法》（2018年修正）</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第一百一十条 县级以上人民政府食品安全监督管理部门履行食品安全监督管理职责，有权采取下列措施，对生产经营者遵守本法的情况进行监督检查：</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（一）进入生产经营场所实施现场检查；</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（二）对生产经营的食品、食品添加剂、食品相关产品进行抽样检验；</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（三）查阅、复制有关合同、票据、账簿以及其他有关资料；</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（四）查封、扣押有证据证明不符合食品安全标准或者有证据证明存在安全隐患以及用于违法生产经营的食品、食品添加剂、食品相关产品；</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（五）查封违法从事生产经营活动的场所。</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【行政法规】《国务院关于加强食品等产品安全监督管理的特别规定》（2007年国务院令第503号）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第十五条 农业、卫生、质检、商务、工商、药品等监督管理部门履行各自产品安全监督管理职责，有下列职权：</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 xml:space="preserve">    （三）查封、扣押不符合法定要求的产品，违法使用的原料、辅料、添加剂、农业投入品以及用于违法生产的工具、设备。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10</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责令暂停相关营业</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【法律】《中华人民共和国价格法》（1997年）</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第三十四条第三项  检查与价格违法行为有关的财物，必要时可以责令当事人暂停相关营业。</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【行政法规】《价格违法行为行政处罚规定》(国务院令第585号)</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第十五条第一款  政府价格主管部门进行价格监督检查时，发现经营者的违法行为同时具有下列三种情形的，可以依照价格法第三十四条第三项的规定责令其暂停相关营业：</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（一）违法行为情节复杂或者情节严重，经查明后可能给予较重处罚的</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（二）不暂停相关营业，违法行为将继续的；</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（三）不暂停相关营业，可能影响违法事实的认定，采取其他措施又不足以保证查明的。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11</w:t>
            </w:r>
          </w:p>
        </w:tc>
        <w:tc>
          <w:tcPr>
            <w:tcW w:w="2236" w:type="dxa"/>
            <w:vMerge w:val="restart"/>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查封、扣押垄断行为相关证据</w:t>
            </w:r>
          </w:p>
        </w:tc>
        <w:tc>
          <w:tcPr>
            <w:tcW w:w="125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【法律】《中华人民共和国反垄断法》（2007年）</w:t>
            </w:r>
          </w:p>
          <w:p>
            <w:pPr>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第三十九条 反垄断执法机构调查涉嫌垄断行为，可以采取下列措施：（四）查封、扣押相关证据。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56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p>
        </w:tc>
        <w:tc>
          <w:tcPr>
            <w:tcW w:w="223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p>
        </w:tc>
        <w:tc>
          <w:tcPr>
            <w:tcW w:w="12551" w:type="dxa"/>
            <w:vMerge w:val="continue"/>
            <w:tcBorders>
              <w:left w:val="single" w:color="auto" w:sz="4" w:space="0"/>
              <w:bottom w:val="single" w:color="auto" w:sz="4" w:space="0"/>
              <w:right w:val="single" w:color="auto" w:sz="4" w:space="0"/>
            </w:tcBorders>
            <w:noWrap w:val="0"/>
            <w:vAlign w:val="center"/>
          </w:tcPr>
          <w:p>
            <w:pPr>
              <w:adjustRightInd w:val="0"/>
              <w:snapToGrid w:val="0"/>
              <w:rPr>
                <w:rFonts w:hint="eastAsia" w:ascii="仿宋_GB2312" w:eastAsia="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5"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仿宋_GB2312" w:eastAsia="仿宋_GB2312"/>
                <w:color w:val="auto"/>
                <w:sz w:val="21"/>
                <w:szCs w:val="21"/>
              </w:rPr>
            </w:pPr>
            <w:r>
              <w:rPr>
                <w:rFonts w:hint="eastAsia" w:ascii="仿宋_GB2312" w:eastAsia="仿宋_GB2312"/>
                <w:color w:val="auto"/>
                <w:sz w:val="21"/>
                <w:szCs w:val="21"/>
              </w:rPr>
              <w:t>12</w:t>
            </w:r>
          </w:p>
        </w:tc>
        <w:tc>
          <w:tcPr>
            <w:tcW w:w="2236" w:type="dxa"/>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对有证据证明是假冒专利产品的查封、扣押</w:t>
            </w:r>
          </w:p>
        </w:tc>
        <w:tc>
          <w:tcPr>
            <w:tcW w:w="12551" w:type="dxa"/>
            <w:tcBorders>
              <w:top w:val="single" w:color="auto" w:sz="4" w:space="0"/>
              <w:left w:val="single" w:color="auto" w:sz="4" w:space="0"/>
              <w:right w:val="single" w:color="auto" w:sz="4" w:space="0"/>
            </w:tcBorders>
            <w:noWrap w:val="0"/>
            <w:vAlign w:val="center"/>
          </w:tcPr>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【法律】《中华人民共和国专利法》（2008年修订）</w:t>
            </w:r>
          </w:p>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第六十四条 管理专利工作的部门根据已经取得的证据，对涉嫌假冒专利行为进行查处时，可以询问有关当事人，调查与涉嫌违法行为有关的情况；对当事人涉嫌违法行为的场所实施现场检查；查阅、复制与涉嫌违法行为有关的合同、发票、账簿以及其他有关资料；检查与涉嫌违法行为有关的产品，对有证据证明是假冒专利的产品，可以查封或者扣押。</w:t>
            </w:r>
          </w:p>
          <w:p>
            <w:pPr>
              <w:widowControl/>
              <w:adjustRightInd w:val="0"/>
              <w:snapToGrid w:val="0"/>
              <w:rPr>
                <w:rFonts w:hint="eastAsia" w:ascii="仿宋_GB2312" w:eastAsia="仿宋_GB2312"/>
                <w:color w:val="auto"/>
                <w:sz w:val="21"/>
                <w:szCs w:val="21"/>
              </w:rPr>
            </w:pPr>
            <w:r>
              <w:rPr>
                <w:rFonts w:hint="eastAsia" w:ascii="仿宋_GB2312" w:eastAsia="仿宋_GB2312"/>
                <w:color w:val="auto"/>
                <w:sz w:val="21"/>
                <w:szCs w:val="21"/>
              </w:rPr>
              <w:t>管理专利工作的部门依法行使前款规定的职权时，当事人应当予以协助、配合，不得拒绝、阻挠。</w:t>
            </w:r>
          </w:p>
        </w:tc>
      </w:tr>
    </w:tbl>
    <w:p/>
    <w:sectPr>
      <w:pgSz w:w="16838" w:h="11906" w:orient="landscape"/>
      <w:pgMar w:top="1588" w:right="851" w:bottom="1474" w:left="85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B18B3"/>
    <w:rsid w:val="133030F6"/>
    <w:rsid w:val="272D1F4D"/>
    <w:rsid w:val="35E02B12"/>
    <w:rsid w:val="44783702"/>
    <w:rsid w:val="70FB1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2021-12-29T02:47:00Z</dcterms:created>
  <dc:creator>703-3</dc:creator>
  <cp:lastModifiedBy>703-3</cp:lastModifiedBy>
  <dcterms:modified xsi:type="dcterms:W3CDTF">2021-12-29T02:59:37Z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